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distinct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perceptions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elevating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virtual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mentorship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achieved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inequity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combat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stereotype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assumption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recommendations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Magazine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accommodations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cognizant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accommodate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accommodations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appropriate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revamp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perhaps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ableist.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disrupt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compliance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recommendations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authored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highlighting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frameworks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author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chapter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chapter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disparities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textbooks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Iezzoni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chapter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chapter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chapter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lengths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chapter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faculty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Zazove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Mangrulkar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fearless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champions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enterprise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Stanford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Alliance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SMADIE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Stanford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Stanford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dismantling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discrimination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The other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AMPHL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fabric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empathic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disrupting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stereotypes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reframing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Lisa Meeks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docswithdisabilities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procedure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robust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investigators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disabilities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University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hashtag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MichiganMinds_LisaMeeks_Edited (Completed  10/11/22)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Oct 12, 2022 -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Edit?token=t-ZpVQ0Qof6FXbFxSeiarzQN3Pk26AMatrhYny534D7-h3r2dqeP4DJehuhUiQeRWH7sFHafqZALZT5HKzGbCFWygjk&amp;loadFrom=DocumentHeaderDeepLin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