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;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;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;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endeavors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fabulous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Photocracy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multifaceted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immigration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financial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security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demonstration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Gregory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installation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demonstrate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subvert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poetry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standalones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pivoted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solicited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semester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crowdsourcing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utilizes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multifaceted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rhetoric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multitudes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civil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polarization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polarization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interrogate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narratives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inquiry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underpinning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illustrate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dialogue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rigorous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dialogue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evocative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uncertainty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polarizing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immigration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retrench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collate.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pivot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crowdsourcing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turbulent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installation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Paradox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Algorithms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weak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Leonard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Bopp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installation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Chavasse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Charli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Brissey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installation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portal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deliberate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randomly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poetry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discordant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unmoored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installation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unsettles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uncertainty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encountering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unfolded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exhausting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uncertainty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reexamining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reassess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interpretation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unmoored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snapshot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uncertainty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plenty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turbulent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tunnel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reemerge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reemerge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underlying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sprouting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cetera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capacity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rekindled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catalyst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 Mexicotte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Photocracy-Arts Initiative-Michigan Minds (Completed  11/07/22)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08,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hUgwZJ57F4YAUVGhTIQrsNUVh0oL1iH47NE6zfTM79q7FpClWvxLpyumYLQfLdHAYGBAtXunzgp3o-JCPbpzzEAzOCk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