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Announcer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everyone.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civil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occupants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trying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eliminate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work.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their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Morning, everyone. My name is Vineet Kamat,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civil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appointment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maintenance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spectrum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destination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Carol said, I'll just add that, 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overarching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sporadic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developing better wheelchairs. But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fundamentally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D'Souza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principal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Pittsburgh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exclusively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ergonomic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expertise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robotics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participatory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recruiting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their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reliable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controlled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Ypsilanti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another.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 think I'll add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distinct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parallel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parallel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are going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surveys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examine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scenarios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destination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University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destination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destination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maneuvered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portions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fundamental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fundamental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assumptions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switches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destination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alternative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if I might add, it might be contextual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waypoints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constraints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constraint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So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parallel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this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interconnected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establishes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clarifying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million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seamlessly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detrimental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segment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: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innovations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otherwise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very good point.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impairments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segment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underlying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scalability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cornerstone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would include the city that provides infrastructure. That would include the transportation agencies that provide the buses and other modes of transportation.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manufacturers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University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wheelchairs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encountered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conveniently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community engagement,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multidisciplinary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D'Souza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Pittsburgh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Carrington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Carnegie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Mellon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Tennessee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will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psychological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implemented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graciously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dimensions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engineering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deliverables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magnify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zero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way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exciting for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emphasis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objectives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milestones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deployed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breadth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stakeholders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undergraduate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our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thank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financially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Vineet Kamat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 Thank 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Carol Menassa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 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Announcer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Thank 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#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UMichImpact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MichiganMinds_Kamat_Menassa (Completed  12/02/22)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Dec 03,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jVdn7k91ZrJAm4eEckFCOjFPBj00oDR0c2Ofpe37udkMWweoWz4Peuqhqn0kANMnr75NrRmMMSotC_iX3gCoxYneuFA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