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chat with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Vyta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junior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bounce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Taubman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theoretical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infrastructure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capitalism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Fascinating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language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capitalism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debris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colonialism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unpacked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dissertation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aesthetic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industry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Pennsylvania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imperialism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neocolonialism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geographical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quarries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argument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argument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consequences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consumed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industry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industry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anthropogenic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biomass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aesthetics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styles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determined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industry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monopoly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infrastructures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mandatory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alternatives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alternative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vernacular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wisdom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dominance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industry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industry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techniques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vegetation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absorb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mechanical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crucial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sustainable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rapidly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unpredictable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intensification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emerged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marketed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advertised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garbage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accurate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advertising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perpetually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character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iterations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assumption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perpetually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reinforce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embedded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planetary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perpetuate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amnesia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propaganda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assume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textiles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industry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geographical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dynamic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packaging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limestone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temperatures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harmful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limestone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dynamics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fascinating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pollution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western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congratulations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scholars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Philadelphia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monuments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bridging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scholars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biographical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Lithuania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Soviet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monuments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monumentality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monuments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landscapes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amnesia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landscapes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endeavor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commemorate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conflicts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Anthropocene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extinct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materials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Vyta Pivo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MichiganMinds_VytaPivo (Completed  10/27/22)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dGjEIlb2A_9ZVn0bza_B1OlDdkR9O4eCBCPuuSwOZrm0fQuiBgCXWt0GMKcJcGZYeLl8POHDZxzmOxPLrtzFZbn6Vmg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