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Çamcı.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immersive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immersive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immersive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vibrant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fifth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Fifth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consumer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style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leverages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simulated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injustice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otherwise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nevertheless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consumer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sanitary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burdens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utilize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amplified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jittery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representation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showcasing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tedious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reconfigured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cumbersome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cinematography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techniques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zooming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implemented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techniques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procedurally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representation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procedural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immersive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represented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cumbersome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committees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dedicated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interpretation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oversimplify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mechanisms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underlie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rewarding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pursuit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pursuit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mathematics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Acoustics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emergence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century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explicit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overlap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hypothesis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immersive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distinction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art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-19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restrictions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submitted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investigators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reimagined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prophecy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Suddenly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fashioned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streaming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deferred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metaverse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nebulous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preserved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outlets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venues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cinematography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utilizes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retrieval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algorithms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accompanying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cinematography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fruits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rhythm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nuanced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noisiness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spectral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centroid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sharpness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threshold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improvisation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script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governed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unusual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augment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showcased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SMTD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Santos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Porter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anatomy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respiratory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CR.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cavernous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narrow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tunnel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ceiling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tunnel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ribcage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nasopharynx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practitioners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Santos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Electronics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graciously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vocals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guitar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harmonica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Whitefish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Paradise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Whitefish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synthesizer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hardware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preliminary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August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warehouse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00:19:30]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Virginia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Charlottesville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Goldberg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machine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rhythmic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Brazil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Japan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/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like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prominence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capacity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exclusive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classrooms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immersive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demonstrate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sudden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performer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dynamic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nuanced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mappings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project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cinematographer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misconception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unidirectional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inherent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reciprocity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springboard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Anilcamci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Likewise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ambitious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instructional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recommend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Anıl Çamcı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Bringing Down the Fifth Wall-Arts Initiative (Completed  01/05/23)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Jan 05,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4NmJ1BMx-KqPW1q6u1GVj16dwR9WEZWcQb4r0EABjRaEXBkDSr_PzPdLC7GuQkPdaNR4FhEyGBNyQDTKhA3cydWoYs4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