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Catherine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Mitchell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affiliate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affiliate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umbrella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mitigating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consequences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Sure, I'd be happy to. So the Education Policy Initiative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seminars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external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policymakers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seminars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seminars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disparities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disadvantage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retrospect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disadvantage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disadvantage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disadvantage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eliminate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disadvantage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relevance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renewed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disadvantage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argument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accounting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underlying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hundreds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chronically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accumulation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patterns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white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eliminated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reversed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coauthored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approximately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inequitable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unmarried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ambiguity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inequitable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perpetuate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eligible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ambiguity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arrangements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prevalent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multigenerational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Latino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multigenerational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disagreement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also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ineligible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eligible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fraudulent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arrangements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arrangements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disparities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eligible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perpetuate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 Minds - Katherine Michelmore (Completed  02/20/23)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Feb 20,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hhaOKLP0UXUPyTLQi8eOvbCob07a1DarvKIrugUwb3kWafipqP9M0H9-sslCDWsu3LgWhA_cgUQ4bk9VzY3hBdU7xhA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