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Deborah Robinson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Deborah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Robinson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investigator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Institute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Dynamics,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RCGD.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PRBA,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administrative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coordinator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MCUAAAR,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Urban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PRBA.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Jackson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Deborah Robinson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#WeGlobal,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circumstances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abroad.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museums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#WeGlobal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utilize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cousin,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#WeGlobal.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Deborah Robinson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PRBA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established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1976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Institute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interdisciplinary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PRBA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innovative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methods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Jackson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PRBA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Taylor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PRBA,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overlap.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racism,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disparities,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development,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migration.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PRBA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doctoral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PRBA,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workshops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population.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PRBA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HBCUs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MCUAAAR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PRBA,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Urban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MCUAAAR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26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workshop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February.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significant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observance?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Deborah Robinson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Woodson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1915,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Negro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1926,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inaugurated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Negro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Negro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Bulletin,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Bulletin.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Harvard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Harvard,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W.E.B.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Harvard,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Negro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impetus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1976,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renamed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ASALH,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2026,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100th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anniversary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Negro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significance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established,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Woodson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Negro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midst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lynchings,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riots,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segregation,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inequities.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recognized.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2023,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wealth,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disparities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Census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Bureau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majority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2044,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non-Hispanic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comprise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50%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population.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2019,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Nikole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Hannah-Jones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Magazine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1619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Hulu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reframe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consequences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slavery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narrative.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enormous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1619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erasure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slavery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curriculum.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Institute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$750,000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three-year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influencing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principal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investigator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Association?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Deborah Robinson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Institute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Museum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government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BCALA,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awarded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principal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investigator,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librarian.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affiliate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50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9,000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critical.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Inter-University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Consortium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ICPSR,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libraries?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extension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representative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sample.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existence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complexity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libraries?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urbanicity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budget,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full-time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identified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competencies.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competency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competency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humility.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August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1st.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released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preliminary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variety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barriers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implementation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barriers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barriers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overcome?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Deborah Robinson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barriers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surprise,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22%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branches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13%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branches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13%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majority,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86%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76%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ASALH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ASALH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barriers,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previously,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branches,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22%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25%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13%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18%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22%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full-time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topic."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supremacist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administration.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limited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displays."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indicated,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administration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administration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and/or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barriers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overcome.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ASALH,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pay.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HBCU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nearby,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toolkit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1.0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implementation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observance?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Deborah Robinson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February,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approximately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percentage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February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percentage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61%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February.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5%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branches,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1.3%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controversy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relevance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agree,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February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library,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percentage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percentage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February?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percentage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authors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databases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ICPSR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educators,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racial,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ethnic,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populations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syllabus.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Deborah Robinson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non-original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Nikole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Hannah-Jones,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Moderator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Deborah Robinson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#umichimpact.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MichiganMinds_Robinson (Completed  02/08/23)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Feb 08,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Edit?token=p_QvE5fPU0LvbexrLl4ewskJ8LtPo0yWVf8mlNY-4_EVVmuBKKbUHzMOzMsB0suklft-WpM7tntKd0uOu-mv3c1UQxg&amp;loadFrom=DocumentHeaderDeepLin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