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victims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autonomy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reinforcing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Magazine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it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vocabulary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crazy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victims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crazy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crazy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intentional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unintentional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Ingrid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Bergman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'40s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tactic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husband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brighten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noticed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crazy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asylum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convincing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undermine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crazy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bipolar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flipping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script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slightly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macro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harassment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denying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minimizing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victims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unstable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authoritative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slash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exaggerating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stereotypes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aggressive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discredit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devastating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detrimental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breathes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repeatedly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crazy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validate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manipulating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victims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counternarratives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validate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devastating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variable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manipulate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manipulate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traumatizing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prioritize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bruise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indicators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victims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decades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damaging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devastating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stomach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attempts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counternarratives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crazy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counternarrative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escaping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decades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escape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transportation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savings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Awareness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Awareness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manipulations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transportation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Awareness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sociologist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inequality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sociologist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emphasize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determination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autonomy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wishes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manipulation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manipulation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that's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recommend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features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manipulation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Coalition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accompanies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vacuum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gaslighting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Paige Sweet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MichiganMinds_PaigeSweet (Completed  05/11/23)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May 11,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ktZokebch-rv6xLz1SAxV2vKBXQAJK-Q0nLHdtldfYeXoCVl8NxMG5F_KOUpHE5qKyWsNAr7XAFH7J43fRhm_Ku305w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